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790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i w:val="0"/>
          <w:iCs w:val="0"/>
          <w:caps w:val="0"/>
          <w:spacing w:val="8"/>
          <w:sz w:val="33"/>
          <w:szCs w:val="33"/>
        </w:rPr>
      </w:pPr>
      <w:r>
        <w:rPr>
          <w:rFonts w:hint="eastAsia" w:ascii="微软雅黑" w:hAnsi="微软雅黑" w:eastAsia="微软雅黑" w:cs="微软雅黑"/>
          <w:i w:val="0"/>
          <w:iCs w:val="0"/>
          <w:caps w:val="0"/>
          <w:spacing w:val="8"/>
          <w:sz w:val="33"/>
          <w:szCs w:val="33"/>
          <w:bdr w:val="none" w:color="auto" w:sz="0" w:space="0"/>
          <w:shd w:val="clear" w:fill="FFFFFF"/>
        </w:rPr>
        <w:t>建筑业新方向！国家“十五五”规划（2026-2030）研究重点及方向</w:t>
      </w:r>
    </w:p>
    <w:p w14:paraId="78908E09">
      <w:pPr>
        <w:pStyle w:val="4"/>
        <w:keepNext w:val="0"/>
        <w:keepLines w:val="0"/>
        <w:widowControl/>
        <w:suppressLineNumbers w:val="0"/>
      </w:pPr>
      <w:r>
        <w:t>“十五五”规划作为我国迈向2035年基本实现现代化的重要衔接规划，其出台对于指导未来五年乃至更长时间的经济社会发展具有重要意义。</w:t>
      </w:r>
    </w:p>
    <w:p w14:paraId="0B7442A6">
      <w:pPr>
        <w:pStyle w:val="4"/>
        <w:keepNext w:val="0"/>
        <w:keepLines w:val="0"/>
        <w:widowControl/>
        <w:suppressLineNumbers w:val="0"/>
      </w:pPr>
      <w:r>
        <w:t>新时期，“十五五”规划将面临世界经济急剧变化、规则剧变、战略定位与实际执行反差等挑战，国家发改委及地方相关机构已启动了前期研究工作，以确保地方规划能够准确把握时代脉搏，推动经济社会的高质量发展。</w:t>
      </w:r>
    </w:p>
    <w:p w14:paraId="79B12F47">
      <w:pPr>
        <w:pStyle w:val="4"/>
        <w:keepNext w:val="0"/>
        <w:keepLines w:val="0"/>
        <w:widowControl/>
        <w:suppressLineNumbers w:val="0"/>
      </w:pPr>
      <w:r>
        <w:t>未来建筑业将呈现以超级大集团为核心、以产业龙头企业为补充，中小型建筑企业围绕超级大集团与产业龙头企业提供专业服务的竞争格局。</w:t>
      </w:r>
      <w:r>
        <w:rPr>
          <w:shd w:val="clear" w:fill="FFDA51"/>
        </w:rPr>
        <w:t>大型建筑企业将围绕建筑产业链、供应链、价值链、创新链优化布局，拓展规划设计、资产经营、装备制造、物资物贸、金融服务、建筑科技、试验检测等专业领域</w:t>
      </w:r>
      <w:r>
        <w:t>，致力于成为一流的建筑产业集团，同时积极培育产业龙头企业与专精特新企业，并购重组与跨界整合是必要手段。</w:t>
      </w:r>
      <w:r>
        <w:rPr>
          <w:spacing w:val="8"/>
          <w:shd w:val="clear" w:fill="FFDA51"/>
        </w:rPr>
        <w:t>中小型建筑企业应立足自身专业特色与资源禀赋，做精做强做优产业链关键环节业务，可以“成为大型建筑集团产业链供应链关键链点企业”为目标</w:t>
      </w:r>
      <w:r>
        <w:rPr>
          <w:spacing w:val="8"/>
        </w:rPr>
        <w:t>，构建人无我有、人有我优、人优我廉的相对竞争优势，打造专业领域专精特新企业。</w:t>
      </w:r>
    </w:p>
    <w:p w14:paraId="14F53479">
      <w:pPr>
        <w:keepNext w:val="0"/>
        <w:keepLines w:val="0"/>
        <w:widowControl/>
        <w:suppressLineNumbers w:val="0"/>
        <w:jc w:val="left"/>
      </w:pPr>
      <w:r>
        <w:rPr>
          <w:rFonts w:ascii="宋体" w:hAnsi="宋体" w:eastAsia="宋体" w:cs="宋体"/>
          <w:b/>
          <w:bCs/>
          <w:color w:val="EE5B2E"/>
          <w:spacing w:val="7"/>
          <w:kern w:val="0"/>
          <w:sz w:val="22"/>
          <w:szCs w:val="22"/>
          <w:lang w:val="en-US" w:eastAsia="zh-CN" w:bidi="ar"/>
        </w:rPr>
        <w:t>到2035年，建筑业发展质量和效益大幅提升，建筑工业化全面实现，建筑品质显著提升，企业创新能力大幅提高，高素质人才队伍全面建立，产业整体优势明显增强，中国建造的核心竞争力世界领先，迈入智能建造世界强国行列，全面服务社会主义现代化强国建设</w:t>
      </w:r>
    </w:p>
    <w:p w14:paraId="7069A675">
      <w:pPr>
        <w:pStyle w:val="4"/>
        <w:keepNext w:val="0"/>
        <w:keepLines w:val="0"/>
        <w:widowControl/>
        <w:suppressLineNumbers w:val="0"/>
        <w:spacing w:after="0" w:afterAutospacing="0"/>
      </w:pPr>
      <w:r>
        <w:t>国家“十五五”规划（2026-2030）对于建筑业的发展方向提出了明确的战略目标和措施。该规划旨在</w:t>
      </w:r>
      <w:r>
        <w:rPr>
          <w:rStyle w:val="7"/>
          <w:u w:val="single"/>
        </w:rPr>
        <w:t>推动建筑业向高质量发展转变</w:t>
      </w:r>
      <w:r>
        <w:t>，加强科技创新，</w:t>
      </w:r>
      <w:r>
        <w:rPr>
          <w:rStyle w:val="7"/>
        </w:rPr>
        <w:t>提升建筑</w:t>
      </w:r>
      <w:r>
        <w:rPr>
          <w:rStyle w:val="7"/>
          <w:u w:val="single"/>
        </w:rPr>
        <w:t>工业化、数字化、智能化</w:t>
      </w:r>
      <w:r>
        <w:rPr>
          <w:rStyle w:val="7"/>
        </w:rPr>
        <w:t>水平</w:t>
      </w:r>
      <w:r>
        <w:t>，实现绿色低碳发展，并构建市场机制有效、质量安全可控、标准支撑有力、市场主体有活力的现代化建筑业发展体系。</w:t>
      </w:r>
    </w:p>
    <w:p w14:paraId="393C8D45">
      <w:pPr>
        <w:keepNext w:val="0"/>
        <w:keepLines w:val="0"/>
        <w:widowControl/>
        <w:suppressLineNumbers w:val="0"/>
        <w:jc w:val="left"/>
        <w:rPr>
          <w:rFonts w:ascii="宋体" w:hAnsi="宋体" w:eastAsia="宋体" w:cs="宋体"/>
          <w:sz w:val="24"/>
          <w:szCs w:val="24"/>
        </w:rPr>
      </w:pPr>
      <w:r>
        <w:rPr>
          <w:rFonts w:ascii="宋体" w:hAnsi="宋体" w:eastAsia="宋体" w:cs="宋体"/>
          <w:sz w:val="24"/>
          <w:szCs w:val="24"/>
        </w:rPr>
        <w:drawing>
          <wp:inline distT="0" distB="0" distL="114300" distR="114300">
            <wp:extent cx="5400675" cy="27146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b="10377"/>
                    <a:stretch>
                      <a:fillRect/>
                    </a:stretch>
                  </pic:blipFill>
                  <pic:spPr>
                    <a:xfrm>
                      <a:off x="0" y="0"/>
                      <a:ext cx="5400675" cy="2714625"/>
                    </a:xfrm>
                    <a:prstGeom prst="rect">
                      <a:avLst/>
                    </a:prstGeom>
                    <a:noFill/>
                    <a:ln w="9525">
                      <a:noFill/>
                    </a:ln>
                  </pic:spPr>
                </pic:pic>
              </a:graphicData>
            </a:graphic>
          </wp:inline>
        </w:drawing>
      </w:r>
    </w:p>
    <w:p w14:paraId="6E3E9313">
      <w:pPr>
        <w:keepNext w:val="0"/>
        <w:keepLines w:val="0"/>
        <w:widowControl/>
        <w:suppressLineNumbers w:val="0"/>
        <w:jc w:val="left"/>
        <w:rPr>
          <w:b/>
          <w:bCs/>
          <w:color w:val="0000FF"/>
        </w:rPr>
      </w:pPr>
      <w:r>
        <w:rPr>
          <w:rFonts w:hint="eastAsia" w:ascii="宋体" w:hAnsi="宋体" w:eastAsia="宋体" w:cs="宋体"/>
          <w:b/>
          <w:bCs/>
          <w:color w:val="0000FF"/>
          <w:sz w:val="24"/>
          <w:szCs w:val="24"/>
          <w:lang w:val="en-US" w:eastAsia="zh-CN"/>
        </w:rPr>
        <w:t>01</w:t>
      </w:r>
      <w:r>
        <w:rPr>
          <w:rFonts w:ascii="宋体" w:hAnsi="宋体" w:eastAsia="宋体" w:cs="宋体"/>
          <w:b/>
          <w:bCs/>
          <w:color w:val="0000FF"/>
          <w:kern w:val="0"/>
          <w:sz w:val="24"/>
          <w:szCs w:val="24"/>
          <w:lang w:val="en-US" w:eastAsia="zh-CN" w:bidi="ar"/>
        </w:rPr>
        <w:t> 痛点分析-建筑工地监管难、问题易发</w:t>
      </w:r>
    </w:p>
    <w:p w14:paraId="58C09D63">
      <w:bookmarkStart w:id="0" w:name="_GoBack"/>
      <w:r>
        <w:drawing>
          <wp:inline distT="0" distB="0" distL="114300" distR="114300">
            <wp:extent cx="6467475" cy="30670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6467475" cy="3067050"/>
                    </a:xfrm>
                    <a:prstGeom prst="rect">
                      <a:avLst/>
                    </a:prstGeom>
                    <a:noFill/>
                    <a:ln>
                      <a:noFill/>
                    </a:ln>
                  </pic:spPr>
                </pic:pic>
              </a:graphicData>
            </a:graphic>
          </wp:inline>
        </w:drawing>
      </w:r>
      <w:bookmarkEnd w:id="0"/>
    </w:p>
    <w:p w14:paraId="6AC6C5DF">
      <w:pPr>
        <w:pStyle w:val="4"/>
        <w:keepNext w:val="0"/>
        <w:keepLines w:val="0"/>
        <w:widowControl/>
        <w:suppressLineNumbers w:val="0"/>
      </w:pPr>
      <w:r>
        <w:rPr>
          <w:rFonts w:ascii="Symbol" w:hAnsi="Symbol" w:eastAsia="Symbol" w:cs="Symbol"/>
          <w:sz w:val="24"/>
        </w:rPr>
        <w:t>·</w:t>
      </w:r>
      <w:r>
        <w:rPr>
          <w:rFonts w:hint="eastAsia" w:ascii="宋体" w:hAnsi="宋体" w:eastAsia="宋体" w:cs="宋体"/>
          <w:sz w:val="24"/>
        </w:rPr>
        <w:t xml:space="preserve">  </w:t>
      </w:r>
      <w:r>
        <w:t>建筑业“大而不强”，信息化上升空间广阔</w:t>
      </w:r>
    </w:p>
    <w:p w14:paraId="07F06298">
      <w:pPr>
        <w:pStyle w:val="4"/>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全国上百万个工地，均自行选购，独立安装，资源利用重复低效</w:t>
      </w:r>
    </w:p>
    <w:p w14:paraId="05506C65">
      <w:pPr>
        <w:pStyle w:val="4"/>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单个工地预算有限，选择空间小，变更成本高</w:t>
      </w:r>
    </w:p>
    <w:p w14:paraId="5E915A66">
      <w:pPr>
        <w:pStyle w:val="4"/>
        <w:keepNext w:val="0"/>
        <w:keepLines w:val="0"/>
        <w:widowControl/>
        <w:suppressLineNumbers w:val="0"/>
        <w:spacing w:after="0" w:afterAutospacing="0"/>
      </w:pPr>
      <w:r>
        <w:rPr>
          <w:rFonts w:hint="default" w:ascii="Symbol" w:hAnsi="Symbol" w:eastAsia="Symbol" w:cs="Symbol"/>
          <w:sz w:val="24"/>
        </w:rPr>
        <w:t>·</w:t>
      </w:r>
      <w:r>
        <w:rPr>
          <w:rFonts w:hint="eastAsia" w:ascii="宋体" w:hAnsi="宋体" w:eastAsia="宋体" w:cs="宋体"/>
          <w:sz w:val="24"/>
        </w:rPr>
        <w:t xml:space="preserve"> </w:t>
      </w:r>
      <w:r>
        <w:t>技术更新越来越快，有些项目刚安装完即已经落后</w:t>
      </w:r>
    </w:p>
    <w:p w14:paraId="57578971">
      <w:pPr>
        <w:keepNext w:val="0"/>
        <w:keepLines w:val="0"/>
        <w:widowControl/>
        <w:suppressLineNumbers w:val="0"/>
        <w:jc w:val="left"/>
        <w:rPr>
          <w:b/>
          <w:bCs/>
          <w:color w:val="0000FF"/>
        </w:rPr>
      </w:pPr>
      <w:r>
        <w:rPr>
          <w:rFonts w:hint="eastAsia" w:ascii="宋体" w:hAnsi="宋体" w:eastAsia="宋体" w:cs="宋体"/>
          <w:b/>
          <w:bCs/>
          <w:color w:val="0000FF"/>
          <w:kern w:val="0"/>
          <w:sz w:val="24"/>
          <w:szCs w:val="24"/>
          <w:lang w:val="en-US" w:eastAsia="zh-CN" w:bidi="ar"/>
        </w:rPr>
        <w:t xml:space="preserve">02 </w:t>
      </w:r>
      <w:r>
        <w:rPr>
          <w:rFonts w:ascii="宋体" w:hAnsi="宋体" w:eastAsia="宋体" w:cs="宋体"/>
          <w:b/>
          <w:bCs/>
          <w:color w:val="0000FF"/>
          <w:kern w:val="0"/>
          <w:sz w:val="24"/>
          <w:szCs w:val="24"/>
          <w:lang w:val="en-US" w:eastAsia="zh-CN" w:bidi="ar"/>
        </w:rPr>
        <w:t>智慧工地的内容和服务对象</w:t>
      </w:r>
    </w:p>
    <w:p w14:paraId="02325586">
      <w:r>
        <w:rPr>
          <w:rFonts w:hint="eastAsia" w:ascii="宋体" w:hAnsi="宋体" w:eastAsia="宋体" w:cs="宋体"/>
          <w:sz w:val="24"/>
        </w:rPr>
        <w:t xml:space="preserve"> </w:t>
      </w:r>
      <w:r>
        <w:drawing>
          <wp:inline distT="0" distB="0" distL="114300" distR="114300">
            <wp:extent cx="6629400" cy="30670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6629400" cy="3067050"/>
                    </a:xfrm>
                    <a:prstGeom prst="rect">
                      <a:avLst/>
                    </a:prstGeom>
                    <a:noFill/>
                    <a:ln>
                      <a:noFill/>
                    </a:ln>
                  </pic:spPr>
                </pic:pic>
              </a:graphicData>
            </a:graphic>
          </wp:inline>
        </w:drawing>
      </w:r>
    </w:p>
    <w:p w14:paraId="2CF4089E">
      <w:pPr>
        <w:keepNext w:val="0"/>
        <w:keepLines w:val="0"/>
        <w:widowControl/>
        <w:suppressLineNumbers w:val="0"/>
        <w:jc w:val="left"/>
      </w:pPr>
      <w:r>
        <w:rPr>
          <w:rFonts w:ascii="宋体" w:hAnsi="宋体" w:eastAsia="宋体" w:cs="宋体"/>
          <w:kern w:val="0"/>
          <w:sz w:val="24"/>
          <w:szCs w:val="24"/>
          <w:lang w:val="en-US" w:eastAsia="zh-CN" w:bidi="ar"/>
        </w:rPr>
        <w:t>以住建部规范为基础，制订统一标准化的智慧工地规范</w:t>
      </w:r>
    </w:p>
    <w:p w14:paraId="6D2AB855">
      <w:r>
        <w:drawing>
          <wp:inline distT="0" distB="0" distL="114300" distR="114300">
            <wp:extent cx="6534150" cy="33432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6534150" cy="3343275"/>
                    </a:xfrm>
                    <a:prstGeom prst="rect">
                      <a:avLst/>
                    </a:prstGeom>
                    <a:noFill/>
                    <a:ln>
                      <a:noFill/>
                    </a:ln>
                  </pic:spPr>
                </pic:pic>
              </a:graphicData>
            </a:graphic>
          </wp:inline>
        </w:drawing>
      </w:r>
    </w:p>
    <w:p w14:paraId="0E981029">
      <w:pPr>
        <w:keepNext w:val="0"/>
        <w:keepLines w:val="0"/>
        <w:widowControl/>
        <w:suppressLineNumbers w:val="0"/>
        <w:jc w:val="left"/>
        <w:rPr>
          <w:b/>
          <w:bCs/>
          <w:color w:val="0000FF"/>
        </w:rPr>
      </w:pPr>
      <w:r>
        <w:rPr>
          <w:rFonts w:hint="eastAsia" w:ascii="宋体" w:hAnsi="宋体" w:eastAsia="宋体" w:cs="宋体"/>
          <w:b/>
          <w:bCs/>
          <w:color w:val="0000FF"/>
          <w:kern w:val="0"/>
          <w:sz w:val="24"/>
          <w:szCs w:val="24"/>
          <w:lang w:val="en-US" w:eastAsia="zh-CN" w:bidi="ar"/>
        </w:rPr>
        <w:t>03</w:t>
      </w:r>
      <w:r>
        <w:rPr>
          <w:rFonts w:ascii="宋体" w:hAnsi="宋体" w:eastAsia="宋体" w:cs="宋体"/>
          <w:b/>
          <w:bCs/>
          <w:color w:val="0000FF"/>
          <w:kern w:val="0"/>
          <w:sz w:val="24"/>
          <w:szCs w:val="24"/>
          <w:lang w:val="en-US" w:eastAsia="zh-CN" w:bidi="ar"/>
        </w:rPr>
        <w:t>智慧工地解决方案设计原则</w:t>
      </w:r>
    </w:p>
    <w:p w14:paraId="73E5B325">
      <w:pPr>
        <w:pStyle w:val="3"/>
        <w:keepNext w:val="0"/>
        <w:keepLines w:val="0"/>
        <w:widowControl/>
        <w:suppressLineNumbers w:val="0"/>
        <w:spacing w:after="0" w:afterAutospacing="0"/>
      </w:pPr>
      <w:r>
        <w:rPr>
          <w:rStyle w:val="7"/>
          <w:b/>
          <w:spacing w:val="7"/>
        </w:rPr>
        <w:t>云边协同，软硬一体</w:t>
      </w:r>
    </w:p>
    <w:p w14:paraId="22B68783">
      <w:pPr>
        <w:pStyle w:val="3"/>
        <w:keepNext w:val="0"/>
        <w:keepLines w:val="0"/>
        <w:widowControl/>
        <w:numPr>
          <w:ilvl w:val="0"/>
          <w:numId w:val="1"/>
        </w:numPr>
        <w:suppressLineNumbers w:val="0"/>
        <w:spacing w:after="0" w:afterAutospacing="0"/>
        <w:ind w:left="420" w:leftChars="0" w:hanging="420" w:firstLineChars="0"/>
      </w:pPr>
      <w:r>
        <w:rPr>
          <w:b w:val="0"/>
          <w:bCs w:val="0"/>
          <w:spacing w:val="7"/>
        </w:rPr>
        <w:t>云</w:t>
      </w:r>
      <w:r>
        <w:rPr>
          <w:b w:val="0"/>
          <w:bCs w:val="0"/>
          <w:spacing w:val="7"/>
        </w:rPr>
        <w:t>和边缘相结合，实现灵活的计算资源、网络资源的合理分配</w:t>
      </w:r>
    </w:p>
    <w:p w14:paraId="215236CA">
      <w:pPr>
        <w:pStyle w:val="3"/>
        <w:keepNext w:val="0"/>
        <w:keepLines w:val="0"/>
        <w:widowControl/>
        <w:numPr>
          <w:ilvl w:val="0"/>
          <w:numId w:val="1"/>
        </w:numPr>
        <w:suppressLineNumbers w:val="0"/>
        <w:spacing w:after="0" w:afterAutospacing="0"/>
        <w:ind w:left="420" w:leftChars="0" w:hanging="420" w:firstLineChars="0"/>
        <w:rPr>
          <w:b w:val="0"/>
          <w:bCs w:val="0"/>
        </w:rPr>
      </w:pPr>
      <w:r>
        <w:rPr>
          <w:b w:val="0"/>
          <w:bCs w:val="0"/>
        </w:rPr>
        <w:t>建设智慧工地云柜标准化软硬件一体化产品，快速部署，多项目使用；</w:t>
      </w:r>
    </w:p>
    <w:p w14:paraId="2F62D4DC">
      <w:pPr>
        <w:pStyle w:val="4"/>
        <w:keepNext w:val="0"/>
        <w:keepLines w:val="0"/>
        <w:widowControl/>
        <w:suppressLineNumbers w:val="0"/>
      </w:pPr>
      <w:r>
        <w:rPr>
          <w:rStyle w:val="7"/>
          <w:spacing w:val="7"/>
        </w:rPr>
        <w:t>标准化中台，选单式应用</w:t>
      </w:r>
    </w:p>
    <w:p w14:paraId="6733A0E6">
      <w:pPr>
        <w:pStyle w:val="4"/>
        <w:keepNext w:val="0"/>
        <w:keepLines w:val="0"/>
        <w:widowControl/>
        <w:numPr>
          <w:ilvl w:val="0"/>
          <w:numId w:val="1"/>
        </w:numPr>
        <w:suppressLineNumbers w:val="0"/>
        <w:ind w:left="420" w:leftChars="0" w:hanging="420" w:firstLineChars="0"/>
      </w:pPr>
      <w:r>
        <w:t>夯实智慧工地中台，建设好物联网平台、数据中台、业务中台、应用聚合平台</w:t>
      </w:r>
    </w:p>
    <w:p w14:paraId="55303855">
      <w:pPr>
        <w:pStyle w:val="4"/>
        <w:keepNext w:val="0"/>
        <w:keepLines w:val="0"/>
        <w:widowControl/>
        <w:numPr>
          <w:ilvl w:val="0"/>
          <w:numId w:val="1"/>
        </w:numPr>
        <w:suppressLineNumbers w:val="0"/>
        <w:ind w:left="420" w:leftChars="0" w:hanging="420" w:firstLineChars="0"/>
      </w:pPr>
      <w:r>
        <w:t>通过SaaS（软件即服务）模式管理各种应用，实现选单式应用</w:t>
      </w:r>
    </w:p>
    <w:p w14:paraId="76D11793">
      <w:pPr>
        <w:pStyle w:val="4"/>
        <w:keepNext w:val="0"/>
        <w:keepLines w:val="0"/>
        <w:widowControl/>
        <w:suppressLineNumbers w:val="0"/>
      </w:pPr>
      <w:r>
        <w:rPr>
          <w:rStyle w:val="7"/>
          <w:spacing w:val="7"/>
        </w:rPr>
        <w:t>数据驱动，建立大数据运营</w:t>
      </w:r>
    </w:p>
    <w:p w14:paraId="74FFF60F">
      <w:pPr>
        <w:pStyle w:val="4"/>
        <w:keepNext w:val="0"/>
        <w:keepLines w:val="0"/>
        <w:widowControl/>
        <w:suppressLineNumbers w:val="0"/>
      </w:pPr>
      <w:r>
        <w:t>打通设备层、资源层、平台层、管理层数据流，在此基础上实现融合汇聚数据，形成智慧工地的大数据运营，实现智能决策；</w:t>
      </w:r>
    </w:p>
    <w:p w14:paraId="5A5609CA">
      <w:pPr>
        <w:pStyle w:val="4"/>
        <w:keepNext w:val="0"/>
        <w:keepLines w:val="0"/>
        <w:widowControl/>
        <w:suppressLineNumbers w:val="0"/>
      </w:pPr>
      <w:r>
        <w:rPr>
          <w:rStyle w:val="7"/>
        </w:rPr>
        <w:t>新科技赋能，新运营模式</w:t>
      </w:r>
    </w:p>
    <w:p w14:paraId="4AE1C4C7">
      <w:pPr>
        <w:pStyle w:val="4"/>
        <w:keepNext w:val="0"/>
        <w:keepLines w:val="0"/>
        <w:widowControl/>
        <w:suppressLineNumbers w:val="0"/>
      </w:pPr>
      <w:r>
        <w:t>引入5G、大数据、物联网、人工智能等创新科技，赋能工地的智慧化管理；采取租赁方式提供智慧工地服务，实现运营模式的创新。</w:t>
      </w:r>
    </w:p>
    <w:p w14:paraId="4AE9AD29">
      <w:pPr>
        <w:pStyle w:val="4"/>
        <w:keepNext w:val="0"/>
        <w:keepLines w:val="0"/>
        <w:widowControl/>
        <w:suppressLineNumbers w:val="0"/>
      </w:pPr>
      <w:r>
        <w:drawing>
          <wp:inline distT="0" distB="0" distL="114300" distR="114300">
            <wp:extent cx="5895975" cy="49434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895975" cy="4943475"/>
                    </a:xfrm>
                    <a:prstGeom prst="rect">
                      <a:avLst/>
                    </a:prstGeom>
                    <a:noFill/>
                    <a:ln>
                      <a:noFill/>
                    </a:ln>
                  </pic:spPr>
                </pic:pic>
              </a:graphicData>
            </a:graphic>
          </wp:inline>
        </w:drawing>
      </w:r>
    </w:p>
    <w:p w14:paraId="45435ACD">
      <w:pPr>
        <w:keepNext w:val="0"/>
        <w:keepLines w:val="0"/>
        <w:widowControl/>
        <w:suppressLineNumbers w:val="0"/>
        <w:jc w:val="left"/>
        <w:rPr>
          <w:rFonts w:ascii="宋体" w:hAnsi="宋体" w:eastAsia="宋体" w:cs="宋体"/>
          <w:b/>
          <w:bCs/>
          <w:color w:val="0000FF"/>
          <w:kern w:val="0"/>
          <w:sz w:val="24"/>
          <w:szCs w:val="24"/>
          <w:lang w:val="en-US" w:eastAsia="zh-CN" w:bidi="ar"/>
        </w:rPr>
      </w:pPr>
      <w:r>
        <w:rPr>
          <w:rFonts w:hint="eastAsia" w:ascii="宋体" w:hAnsi="宋体" w:eastAsia="宋体" w:cs="宋体"/>
          <w:b/>
          <w:bCs/>
          <w:color w:val="0000FF"/>
          <w:kern w:val="0"/>
          <w:sz w:val="24"/>
          <w:szCs w:val="24"/>
          <w:lang w:val="en-US" w:eastAsia="zh-CN" w:bidi="ar"/>
        </w:rPr>
        <w:t>04</w:t>
      </w:r>
      <w:r>
        <w:rPr>
          <w:rFonts w:ascii="宋体" w:hAnsi="宋体" w:eastAsia="宋体" w:cs="宋体"/>
          <w:b/>
          <w:bCs/>
          <w:color w:val="0000FF"/>
          <w:kern w:val="0"/>
          <w:sz w:val="24"/>
          <w:szCs w:val="24"/>
          <w:lang w:val="en-US" w:eastAsia="zh-CN" w:bidi="ar"/>
        </w:rPr>
        <w:t>基于AIoT核心能力打造的智慧工地整体方案架构</w:t>
      </w:r>
    </w:p>
    <w:p w14:paraId="40A00371">
      <w:pPr>
        <w:keepNext w:val="0"/>
        <w:keepLines w:val="0"/>
        <w:widowControl/>
        <w:suppressLineNumbers w:val="0"/>
        <w:jc w:val="left"/>
      </w:pPr>
      <w:r>
        <w:drawing>
          <wp:inline distT="0" distB="0" distL="114300" distR="114300">
            <wp:extent cx="6645275" cy="3177540"/>
            <wp:effectExtent l="0" t="0" r="3175"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6645275" cy="3177540"/>
                    </a:xfrm>
                    <a:prstGeom prst="rect">
                      <a:avLst/>
                    </a:prstGeom>
                    <a:noFill/>
                    <a:ln>
                      <a:noFill/>
                    </a:ln>
                  </pic:spPr>
                </pic:pic>
              </a:graphicData>
            </a:graphic>
          </wp:inline>
        </w:drawing>
      </w:r>
    </w:p>
    <w:p w14:paraId="49D2DD9F">
      <w:pPr>
        <w:keepNext w:val="0"/>
        <w:keepLines w:val="0"/>
        <w:widowControl/>
        <w:suppressLineNumbers w:val="0"/>
        <w:jc w:val="left"/>
        <w:rPr>
          <w:b/>
          <w:bCs/>
          <w:color w:val="0000FF"/>
        </w:rPr>
      </w:pPr>
      <w:r>
        <w:rPr>
          <w:rFonts w:hint="eastAsia" w:ascii="宋体" w:hAnsi="宋体" w:eastAsia="宋体" w:cs="宋体"/>
          <w:b/>
          <w:bCs/>
          <w:color w:val="0000FF"/>
          <w:kern w:val="0"/>
          <w:sz w:val="24"/>
          <w:szCs w:val="24"/>
          <w:lang w:val="en-US" w:eastAsia="zh-CN" w:bidi="ar"/>
        </w:rPr>
        <w:t>05</w:t>
      </w:r>
      <w:r>
        <w:rPr>
          <w:rFonts w:ascii="宋体" w:hAnsi="宋体" w:eastAsia="宋体" w:cs="宋体"/>
          <w:b/>
          <w:bCs/>
          <w:color w:val="0000FF"/>
          <w:kern w:val="0"/>
          <w:sz w:val="24"/>
          <w:szCs w:val="24"/>
          <w:lang w:val="en-US" w:eastAsia="zh-CN" w:bidi="ar"/>
        </w:rPr>
        <w:t>菜单式选购：50+智慧工地应用</w:t>
      </w:r>
    </w:p>
    <w:p w14:paraId="7DC6C927">
      <w:pPr>
        <w:keepNext w:val="0"/>
        <w:keepLines w:val="0"/>
        <w:widowControl/>
        <w:suppressLineNumbers w:val="0"/>
        <w:jc w:val="left"/>
        <w:rPr>
          <w:lang w:val="en-US" w:eastAsia="zh-CN"/>
        </w:rPr>
      </w:pPr>
      <w:r>
        <w:drawing>
          <wp:inline distT="0" distB="0" distL="114300" distR="114300">
            <wp:extent cx="6639560" cy="4747895"/>
            <wp:effectExtent l="0" t="0" r="8890" b="146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6639560" cy="4747895"/>
                    </a:xfrm>
                    <a:prstGeom prst="rect">
                      <a:avLst/>
                    </a:prstGeom>
                    <a:noFill/>
                    <a:ln>
                      <a:noFill/>
                    </a:ln>
                  </pic:spPr>
                </pic:pic>
              </a:graphicData>
            </a:graphic>
          </wp:inline>
        </w:drawing>
      </w:r>
    </w:p>
    <w:p w14:paraId="75150D63">
      <w:pPr>
        <w:keepNext w:val="0"/>
        <w:keepLines w:val="0"/>
        <w:widowControl/>
        <w:suppressLineNumbers w:val="0"/>
        <w:jc w:val="left"/>
        <w:rPr>
          <w:b/>
          <w:bCs/>
          <w:color w:val="0000FF"/>
        </w:rPr>
      </w:pPr>
      <w:r>
        <w:rPr>
          <w:rFonts w:hint="eastAsia" w:ascii="宋体" w:hAnsi="宋体" w:eastAsia="宋体" w:cs="宋体"/>
          <w:b/>
          <w:bCs/>
          <w:color w:val="0000FF"/>
          <w:kern w:val="0"/>
          <w:sz w:val="24"/>
          <w:szCs w:val="24"/>
          <w:lang w:val="en-US" w:eastAsia="zh-CN" w:bidi="ar"/>
        </w:rPr>
        <w:t>06</w:t>
      </w:r>
      <w:r>
        <w:rPr>
          <w:rFonts w:ascii="宋体" w:hAnsi="宋体" w:eastAsia="宋体" w:cs="宋体"/>
          <w:b/>
          <w:bCs/>
          <w:color w:val="0000FF"/>
          <w:kern w:val="0"/>
          <w:sz w:val="24"/>
          <w:szCs w:val="24"/>
          <w:lang w:val="en-US" w:eastAsia="zh-CN" w:bidi="ar"/>
        </w:rPr>
        <w:t>智慧工地整体解决方案的优势和亮点</w:t>
      </w:r>
    </w:p>
    <w:p w14:paraId="380BF910">
      <w:pPr>
        <w:pStyle w:val="4"/>
        <w:keepNext w:val="0"/>
        <w:keepLines w:val="0"/>
        <w:widowControl/>
        <w:suppressLineNumbers w:val="0"/>
      </w:pPr>
      <w:r>
        <w:rPr>
          <w:rStyle w:val="7"/>
        </w:rPr>
        <w:t>数据可视化，“一屏观天下”</w:t>
      </w:r>
    </w:p>
    <w:p w14:paraId="06380352">
      <w:pPr>
        <w:pStyle w:val="4"/>
        <w:keepNext w:val="0"/>
        <w:keepLines w:val="0"/>
        <w:widowControl/>
        <w:suppressLineNumbers w:val="0"/>
      </w:pPr>
      <w:r>
        <w:t>真正实现生产和施工的实时可视化，从管理层到班组成员，均可直观看到权限范围内的数据统计和告警信息、工地信息。</w:t>
      </w:r>
    </w:p>
    <w:p w14:paraId="297F2BD2">
      <w:pPr>
        <w:pStyle w:val="4"/>
        <w:keepNext w:val="0"/>
        <w:keepLines w:val="0"/>
        <w:widowControl/>
        <w:suppressLineNumbers w:val="0"/>
      </w:pPr>
      <w:r>
        <w:rPr>
          <w:rStyle w:val="7"/>
        </w:rPr>
        <w:t>平台+应用，菜单式选用</w:t>
      </w:r>
    </w:p>
    <w:p w14:paraId="763205F6">
      <w:pPr>
        <w:pStyle w:val="4"/>
        <w:keepNext w:val="0"/>
        <w:keepLines w:val="0"/>
        <w:widowControl/>
        <w:suppressLineNumbers w:val="0"/>
      </w:pPr>
      <w:r>
        <w:t>统一规划，平台为核心，实现硬件标准化、大中台、小前台的互联网架构，在夯实平台的基础上，形成不同工地应用菜单式建设，夯实将来对接上游和下游系统的基础，为形成体系化智慧工地管理做准备。</w:t>
      </w:r>
    </w:p>
    <w:p w14:paraId="31154349">
      <w:pPr>
        <w:pStyle w:val="4"/>
        <w:keepNext w:val="0"/>
        <w:keepLines w:val="0"/>
        <w:widowControl/>
        <w:suppressLineNumbers w:val="0"/>
      </w:pPr>
      <w:r>
        <w:rPr>
          <w:rStyle w:val="7"/>
        </w:rPr>
        <w:t>云边协同的AIoT架构</w:t>
      </w:r>
    </w:p>
    <w:p w14:paraId="3A7B6444">
      <w:pPr>
        <w:pStyle w:val="4"/>
        <w:keepNext w:val="0"/>
        <w:keepLines w:val="0"/>
        <w:widowControl/>
        <w:suppressLineNumbers w:val="0"/>
      </w:pPr>
      <w:r>
        <w:t>通过智能边缘的AIoT核心技术，形成物联网与人工智能、云计算与边缘计算相结合的架构体系，实现主动预警、云边协同、高可靠、低成本的智慧工地方案。</w:t>
      </w:r>
    </w:p>
    <w:p w14:paraId="2CBAE8DC">
      <w:pPr>
        <w:pStyle w:val="4"/>
        <w:keepNext w:val="0"/>
        <w:keepLines w:val="0"/>
        <w:widowControl/>
        <w:suppressLineNumbers w:val="0"/>
      </w:pPr>
      <w:r>
        <w:rPr>
          <w:rStyle w:val="7"/>
        </w:rPr>
        <w:t>5G融合通信，无限连接</w:t>
      </w:r>
    </w:p>
    <w:p w14:paraId="702A0923">
      <w:pPr>
        <w:pStyle w:val="4"/>
        <w:keepNext w:val="0"/>
        <w:keepLines w:val="0"/>
        <w:widowControl/>
        <w:suppressLineNumbers w:val="0"/>
      </w:pPr>
      <w:r>
        <w:t>借助5G融合通信技术，赋能智慧工地的信息通信，提供灵活部署、高带宽的通信能力。</w:t>
      </w:r>
    </w:p>
    <w:p w14:paraId="4832C35B">
      <w:pPr>
        <w:pStyle w:val="4"/>
        <w:keepNext w:val="0"/>
        <w:keepLines w:val="0"/>
        <w:widowControl/>
        <w:suppressLineNumbers w:val="0"/>
      </w:pPr>
      <w:r>
        <w:rPr>
          <w:rStyle w:val="7"/>
        </w:rPr>
        <w:t>标准一体化硬件资源</w:t>
      </w:r>
    </w:p>
    <w:p w14:paraId="572824D7">
      <w:pPr>
        <w:pStyle w:val="4"/>
        <w:keepNext w:val="0"/>
        <w:keepLines w:val="0"/>
        <w:widowControl/>
        <w:suppressLineNumbers w:val="0"/>
      </w:pPr>
      <w:r>
        <w:t>实现标准化的硬件资源管理能力，提供智慧化工程所需的各种硬件、网络、设备的运行环境</w:t>
      </w:r>
    </w:p>
    <w:p w14:paraId="483824A9">
      <w:pPr>
        <w:pStyle w:val="4"/>
        <w:keepNext w:val="0"/>
        <w:keepLines w:val="0"/>
        <w:widowControl/>
        <w:suppressLineNumbers w:val="0"/>
        <w:spacing w:line="336" w:lineRule="atLeast"/>
        <w:ind w:left="0" w:right="0"/>
      </w:pPr>
      <w:r>
        <w:rPr>
          <w:spacing w:val="9"/>
        </w:rPr>
        <w:t> </w:t>
      </w:r>
      <w:r>
        <w:rPr>
          <w:spacing w:val="8"/>
        </w:rPr>
        <w:t>"十五五"战略规划对于某些企业而言可能并不重要，但对于另一些企业来说，这可能是其发展历史上最为关键的一个五年计划。</w:t>
      </w:r>
    </w:p>
    <w:p w14:paraId="667FF2C2">
      <w:pPr>
        <w:pStyle w:val="4"/>
        <w:keepNext w:val="0"/>
        <w:keepLines w:val="0"/>
        <w:widowControl/>
        <w:suppressLineNumbers w:val="0"/>
        <w:spacing w:line="336" w:lineRule="atLeast"/>
        <w:ind w:left="0" w:right="0"/>
      </w:pPr>
      <w:r>
        <w:rPr>
          <w:spacing w:val="8"/>
        </w:rPr>
        <w:t> 在这个百年未有的重大变革时期，五年规划对于企业的持续发展至关重要。如果企业在这一时期未能制定有效的生存战略，可能会面临被淘汰的风险。因此，“十五五”规划对于许多企业来说，是关乎生死存亡的关键。</w:t>
      </w:r>
    </w:p>
    <w:p w14:paraId="44EE710B"/>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8EA6F"/>
    <w:multiLevelType w:val="singleLevel"/>
    <w:tmpl w:val="5E18EA6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jN2E4NjA0Mjk0YWMzODQ4M2Y3NjExN2VjMzhjOTYifQ=="/>
  </w:docVars>
  <w:rsids>
    <w:rsidRoot w:val="77B62231"/>
    <w:rsid w:val="77B62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9</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2024-10-28T06:48:00Z</dcterms:created>
  <dc:creator>王姝懿</dc:creator>
  <cp:lastModifiedBy>王姝懿</cp:lastModifiedBy>
  <dcterms:modified xsi:type="dcterms:W3CDTF">2024-10-28T07:04:16Z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0FBDCBD08C0F431E922CE658024EEF1E_11</vt:lpwstr>
  </property>
</Properties>
</file>